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Module 1 Participant Guide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Complete the KSDE Required Dyslexia Pre-Test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ff0000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Access the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KSDE Required Dyslexia Training Padlet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for some tasks and to deepen  your understanding. The password is KSDE.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Task 1: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36"/>
            <w:szCs w:val="36"/>
            <w:u w:val="single"/>
            <w:rtl w:val="0"/>
          </w:rPr>
          <w:t xml:space="preserve">Screening Protocol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 (see link)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Task 2: </w:t>
      </w:r>
      <w:hyperlink r:id="rId9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36"/>
            <w:szCs w:val="36"/>
            <w:u w:val="single"/>
            <w:rtl w:val="0"/>
          </w:rPr>
          <w:t xml:space="preserve">Dyslexia Handbook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 (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see link)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Task 3: </w:t>
      </w:r>
      <w:hyperlink r:id="rId10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36"/>
            <w:szCs w:val="36"/>
            <w:u w:val="single"/>
            <w:rtl w:val="0"/>
          </w:rPr>
          <w:t xml:space="preserve">Required Annual Training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(see link)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Fonts w:ascii="Open Sans" w:cs="Open Sans" w:eastAsia="Open Sans" w:hAnsi="Open Sans"/>
          <w:b w:val="1"/>
          <w:sz w:val="54"/>
          <w:szCs w:val="54"/>
        </w:rPr>
        <w:drawing>
          <wp:inline distB="114300" distT="114300" distL="114300" distR="114300">
            <wp:extent cx="4548188" cy="373184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8188" cy="3731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rtl w:val="0"/>
        </w:rPr>
        <w:t xml:space="preserve">Task 4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: </w:t>
      </w:r>
      <w:hyperlink r:id="rId12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36"/>
            <w:szCs w:val="36"/>
            <w:u w:val="single"/>
            <w:rtl w:val="0"/>
          </w:rPr>
          <w:t xml:space="preserve">Every Child Can Read Act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(see link)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219700" cy="7428349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283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rtl w:val="0"/>
        </w:rPr>
        <w:t xml:space="preserve">Task 5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: </w:t>
      </w:r>
      <w:hyperlink r:id="rId14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36"/>
            <w:szCs w:val="36"/>
            <w:u w:val="single"/>
            <w:rtl w:val="0"/>
          </w:rPr>
          <w:t xml:space="preserve">Structured Literacy Checklist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rtl w:val="0"/>
        </w:rPr>
        <w:t xml:space="preserve">Task 6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: </w:t>
      </w:r>
      <w:hyperlink r:id="rId15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36"/>
            <w:szCs w:val="36"/>
            <w:u w:val="single"/>
            <w:rtl w:val="0"/>
          </w:rPr>
          <w:t xml:space="preserve">District Assessment Procedures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u w:val="single"/>
          <w:rtl w:val="0"/>
        </w:rPr>
        <w:t xml:space="preserve">Task 7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: KSDE Dyslexia Page</w:t>
      </w:r>
      <w:r w:rsidDel="00000000" w:rsidR="00000000" w:rsidRPr="00000000">
        <w:rPr>
          <w:rFonts w:ascii="Open Sans" w:cs="Open Sans" w:eastAsia="Open Sans" w:hAnsi="Open Sans"/>
          <w:b w:val="1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[see this page for information on the handbook, dyslexia newsletters, and ongoing professional development]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20935</wp:posOffset>
            </wp:positionV>
            <wp:extent cx="2352251" cy="2352251"/>
            <wp:effectExtent b="0" l="0" r="0" t="0"/>
            <wp:wrapSquare wrapText="bothSides" distB="19050" distT="19050" distL="19050" distR="1905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251" cy="2352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b w:val="1"/>
          <w:sz w:val="54"/>
          <w:szCs w:val="5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hyperlink" Target="https://www.ksde.org/Agency/Division-of-Learning-Services/Student-Staff-Training/Prevention-and-Responsive-Culture/Structured-Literacy-and-Dyslexia-Training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ksde.org/Portals/0/CSAS/CSAS%20Home/Every%20Child%20Can%20Read%20Act%20Summary.pdf?ver=2023-08-22-070431-72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sde.org/Portals/0/CSAS/CSAS%20Home/Kansas%20Dyslexia%20Handbook%20(2023-2024).pdf?ver=2023-09-08-090632-927" TargetMode="External"/><Relationship Id="rId15" Type="http://schemas.openxmlformats.org/officeDocument/2006/relationships/hyperlink" Target="https://docs.google.com/document/d/1bNd_1VoAxW6lqu3uZow9yQooxR8K3a5mDeirsGemkzQ/edit" TargetMode="External"/><Relationship Id="rId14" Type="http://schemas.openxmlformats.org/officeDocument/2006/relationships/hyperlink" Target="https://www.ksde.org/Portals/0/CSAS/CSAS%20Home/KSDE%20Structured%20Literacy%20Components%20Checklist.pdf?ver=2023-11-02-065202-023" TargetMode="External"/><Relationship Id="rId17" Type="http://schemas.openxmlformats.org/officeDocument/2006/relationships/footer" Target="foot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Q0496OjH0Cdt9_-glUK33WCc0IcC_w52ndTo6KKmVR56ULA/viewform?usp=sharing" TargetMode="External"/><Relationship Id="rId7" Type="http://schemas.openxmlformats.org/officeDocument/2006/relationships/hyperlink" Target="https://ksde.padlet.org/lauriecurtis2/ksde-required-dyslexia-training-rhvvp52uwdi7ekmh" TargetMode="External"/><Relationship Id="rId8" Type="http://schemas.openxmlformats.org/officeDocument/2006/relationships/hyperlink" Target="https://www.ksde.org/Portals/0/CSAS/Content%20Area%20(A-E)/Dyslexia/2023-2024%20KSDE%20Dyslexia%20Screening%20Protocol.pdf?ver=2024-03-21-075610-49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